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Kyle Sheth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Swerve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Digitally Mediated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I</w:t>
      </w:r>
      <w:r>
        <w:rPr>
          <w:rtl w:val="0"/>
          <w:lang w:val="es-ES_tradnl"/>
        </w:rPr>
        <w:t>n today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  <w:lang w:val="en-US"/>
        </w:rPr>
        <w:t>s technology driven work force, a traditional work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table is not sufficient for the collaboration that occupies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our day to day lives. By adding components to increase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dynamism and enhance the ease of group work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surrounding the laptop, the</w:t>
      </w:r>
      <w:r>
        <w:rPr>
          <w:rtl w:val="0"/>
          <w:lang w:val="en-US"/>
        </w:rPr>
        <w:t xml:space="preserve"> Swerve table</w:t>
      </w:r>
      <w:r>
        <w:rPr>
          <w:rtl w:val="0"/>
          <w:lang w:val="en-US"/>
        </w:rPr>
        <w:t xml:space="preserve"> has removed the frustration of physical space from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equation. When this aspect is removed, the ability to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focus on the tasks at hand strengthens.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